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7FCC4" w14:textId="77777777" w:rsidR="00C64B1B" w:rsidRDefault="00C64B1B" w:rsidP="00C64B1B">
      <w:pPr>
        <w:jc w:val="center"/>
      </w:pP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134"/>
        <w:gridCol w:w="1843"/>
        <w:gridCol w:w="3544"/>
        <w:gridCol w:w="1559"/>
        <w:gridCol w:w="6746"/>
      </w:tblGrid>
      <w:tr w:rsidR="00A06425" w:rsidRPr="00A06425" w14:paraId="6236BE93" w14:textId="77777777" w:rsidTr="00A06425">
        <w:tc>
          <w:tcPr>
            <w:tcW w:w="15388" w:type="dxa"/>
            <w:gridSpan w:val="6"/>
            <w:vAlign w:val="center"/>
          </w:tcPr>
          <w:p w14:paraId="33D8CC89" w14:textId="77777777" w:rsidR="00A06425" w:rsidRPr="00A06425" w:rsidRDefault="00A06425" w:rsidP="00B871B6">
            <w:pPr>
              <w:spacing w:before="120" w:after="120"/>
              <w:rPr>
                <w:rFonts w:asciiTheme="minorHAnsi" w:hAnsiTheme="minorHAnsi" w:cstheme="minorHAnsi"/>
                <w:b/>
                <w:i/>
                <w:sz w:val="22"/>
                <w:szCs w:val="22"/>
              </w:rPr>
            </w:pPr>
            <w:r w:rsidRPr="00A06425">
              <w:rPr>
                <w:rFonts w:asciiTheme="minorHAnsi" w:hAnsiTheme="minorHAnsi" w:cstheme="minorHAnsi"/>
                <w:b/>
                <w:i/>
                <w:sz w:val="22"/>
                <w:szCs w:val="22"/>
              </w:rPr>
              <w:t>Nazwa dokumentu:</w:t>
            </w:r>
          </w:p>
          <w:p w14:paraId="1F2B7BBD" w14:textId="77777777" w:rsidR="00A06425" w:rsidRPr="00A06425" w:rsidRDefault="00A06425" w:rsidP="00B871B6">
            <w:pPr>
              <w:spacing w:before="120" w:after="120"/>
              <w:rPr>
                <w:rFonts w:asciiTheme="minorHAnsi" w:hAnsiTheme="minorHAnsi" w:cstheme="minorHAnsi"/>
                <w:b/>
                <w:i/>
                <w:sz w:val="22"/>
                <w:szCs w:val="22"/>
              </w:rPr>
            </w:pPr>
          </w:p>
        </w:tc>
      </w:tr>
      <w:tr w:rsidR="00A06425" w:rsidRPr="00A06425" w14:paraId="6F2292FE" w14:textId="77777777" w:rsidTr="004679DC">
        <w:tc>
          <w:tcPr>
            <w:tcW w:w="562" w:type="dxa"/>
            <w:vAlign w:val="center"/>
          </w:tcPr>
          <w:p w14:paraId="693A0117" w14:textId="77777777" w:rsidR="00A06425" w:rsidRPr="00A06425" w:rsidRDefault="00A06425" w:rsidP="004D086F">
            <w:pPr>
              <w:jc w:val="center"/>
              <w:rPr>
                <w:rFonts w:asciiTheme="minorHAnsi" w:hAnsiTheme="minorHAnsi" w:cstheme="minorHAnsi"/>
                <w:b/>
                <w:sz w:val="22"/>
                <w:szCs w:val="22"/>
              </w:rPr>
            </w:pPr>
            <w:r>
              <w:rPr>
                <w:rFonts w:asciiTheme="minorHAnsi" w:hAnsiTheme="minorHAnsi" w:cstheme="minorHAnsi"/>
                <w:b/>
                <w:sz w:val="22"/>
                <w:szCs w:val="22"/>
              </w:rPr>
              <w:t>L</w:t>
            </w:r>
            <w:r w:rsidRPr="00A06425">
              <w:rPr>
                <w:rFonts w:asciiTheme="minorHAnsi" w:hAnsiTheme="minorHAnsi" w:cstheme="minorHAnsi"/>
                <w:b/>
                <w:sz w:val="22"/>
                <w:szCs w:val="22"/>
              </w:rPr>
              <w:t>p.</w:t>
            </w:r>
          </w:p>
        </w:tc>
        <w:tc>
          <w:tcPr>
            <w:tcW w:w="1134" w:type="dxa"/>
            <w:vAlign w:val="center"/>
          </w:tcPr>
          <w:p w14:paraId="7148BA93" w14:textId="77777777" w:rsidR="00A06425" w:rsidRPr="00A06425" w:rsidRDefault="00A06425" w:rsidP="004D086F">
            <w:pPr>
              <w:jc w:val="center"/>
              <w:rPr>
                <w:rFonts w:asciiTheme="minorHAnsi" w:hAnsiTheme="minorHAnsi" w:cstheme="minorHAnsi"/>
                <w:b/>
                <w:sz w:val="22"/>
                <w:szCs w:val="22"/>
              </w:rPr>
            </w:pPr>
            <w:r w:rsidRPr="00A06425">
              <w:rPr>
                <w:rFonts w:asciiTheme="minorHAnsi" w:hAnsiTheme="minorHAnsi" w:cstheme="minorHAnsi"/>
                <w:b/>
                <w:sz w:val="22"/>
                <w:szCs w:val="22"/>
              </w:rPr>
              <w:t>Organ wnoszący uwagi</w:t>
            </w:r>
          </w:p>
        </w:tc>
        <w:tc>
          <w:tcPr>
            <w:tcW w:w="1843" w:type="dxa"/>
            <w:vAlign w:val="center"/>
          </w:tcPr>
          <w:p w14:paraId="0E2A96D6" w14:textId="77777777" w:rsidR="00A06425" w:rsidRPr="00A06425" w:rsidRDefault="00A06425" w:rsidP="004D086F">
            <w:pPr>
              <w:jc w:val="center"/>
              <w:rPr>
                <w:rFonts w:asciiTheme="minorHAnsi" w:hAnsiTheme="minorHAnsi" w:cstheme="minorHAnsi"/>
                <w:b/>
                <w:sz w:val="22"/>
                <w:szCs w:val="22"/>
              </w:rPr>
            </w:pPr>
            <w:r w:rsidRPr="00A06425">
              <w:rPr>
                <w:rFonts w:asciiTheme="minorHAnsi" w:hAnsiTheme="minorHAnsi" w:cstheme="minorHAnsi"/>
                <w:b/>
                <w:sz w:val="22"/>
                <w:szCs w:val="22"/>
              </w:rPr>
              <w:t>Jednostka redakcyjna, do której wnoszone są uwagi</w:t>
            </w:r>
          </w:p>
        </w:tc>
        <w:tc>
          <w:tcPr>
            <w:tcW w:w="3544" w:type="dxa"/>
            <w:vAlign w:val="center"/>
          </w:tcPr>
          <w:p w14:paraId="12E945EB" w14:textId="77777777" w:rsidR="00A06425" w:rsidRPr="00A06425" w:rsidRDefault="00A06425" w:rsidP="004D086F">
            <w:pPr>
              <w:jc w:val="center"/>
              <w:rPr>
                <w:rFonts w:asciiTheme="minorHAnsi" w:hAnsiTheme="minorHAnsi" w:cstheme="minorHAnsi"/>
                <w:b/>
                <w:sz w:val="22"/>
                <w:szCs w:val="22"/>
              </w:rPr>
            </w:pPr>
            <w:r w:rsidRPr="00A06425">
              <w:rPr>
                <w:rFonts w:asciiTheme="minorHAnsi" w:hAnsiTheme="minorHAnsi" w:cstheme="minorHAnsi"/>
                <w:b/>
                <w:sz w:val="22"/>
                <w:szCs w:val="22"/>
              </w:rPr>
              <w:t>Treść uwagi</w:t>
            </w:r>
          </w:p>
        </w:tc>
        <w:tc>
          <w:tcPr>
            <w:tcW w:w="1559" w:type="dxa"/>
            <w:vAlign w:val="center"/>
          </w:tcPr>
          <w:p w14:paraId="1A2C085D" w14:textId="77777777" w:rsidR="00A06425" w:rsidRPr="00A06425" w:rsidRDefault="00A06425" w:rsidP="004D086F">
            <w:pPr>
              <w:jc w:val="center"/>
              <w:rPr>
                <w:rFonts w:asciiTheme="minorHAnsi" w:hAnsiTheme="minorHAnsi" w:cstheme="minorHAnsi"/>
                <w:b/>
                <w:sz w:val="22"/>
                <w:szCs w:val="22"/>
              </w:rPr>
            </w:pPr>
            <w:r w:rsidRPr="00A06425">
              <w:rPr>
                <w:rFonts w:asciiTheme="minorHAnsi" w:hAnsiTheme="minorHAnsi" w:cstheme="minorHAnsi"/>
                <w:b/>
                <w:sz w:val="22"/>
                <w:szCs w:val="22"/>
              </w:rPr>
              <w:t>Propozycja zmian zapisu</w:t>
            </w:r>
          </w:p>
        </w:tc>
        <w:tc>
          <w:tcPr>
            <w:tcW w:w="6746" w:type="dxa"/>
            <w:vAlign w:val="center"/>
          </w:tcPr>
          <w:p w14:paraId="26498FE9" w14:textId="77777777" w:rsidR="00A06425" w:rsidRPr="00A06425" w:rsidRDefault="00A06425" w:rsidP="00A06425">
            <w:pPr>
              <w:jc w:val="center"/>
              <w:rPr>
                <w:rFonts w:asciiTheme="minorHAnsi" w:hAnsiTheme="minorHAnsi" w:cstheme="minorHAnsi"/>
                <w:b/>
                <w:sz w:val="22"/>
                <w:szCs w:val="22"/>
              </w:rPr>
            </w:pPr>
            <w:r w:rsidRPr="00A06425">
              <w:rPr>
                <w:rFonts w:asciiTheme="minorHAnsi" w:hAnsiTheme="minorHAnsi" w:cstheme="minorHAnsi"/>
                <w:b/>
                <w:sz w:val="22"/>
                <w:szCs w:val="22"/>
              </w:rPr>
              <w:t>Odniesienie do uwagi</w:t>
            </w:r>
          </w:p>
        </w:tc>
      </w:tr>
      <w:tr w:rsidR="00A06425" w:rsidRPr="00A06425" w14:paraId="45FCCBEF" w14:textId="77777777" w:rsidTr="004679DC">
        <w:tc>
          <w:tcPr>
            <w:tcW w:w="562" w:type="dxa"/>
          </w:tcPr>
          <w:p w14:paraId="1C6E00B4" w14:textId="77777777" w:rsidR="00A06425" w:rsidRPr="00A06425" w:rsidRDefault="00A06425" w:rsidP="00A06425">
            <w:pPr>
              <w:spacing w:before="120" w:after="120"/>
              <w:jc w:val="center"/>
              <w:rPr>
                <w:rFonts w:asciiTheme="minorHAnsi" w:hAnsiTheme="minorHAnsi" w:cstheme="minorHAnsi"/>
                <w:b/>
                <w:sz w:val="22"/>
                <w:szCs w:val="22"/>
              </w:rPr>
            </w:pPr>
            <w:r w:rsidRPr="00A06425">
              <w:rPr>
                <w:rFonts w:asciiTheme="minorHAnsi" w:hAnsiTheme="minorHAnsi" w:cstheme="minorHAnsi"/>
                <w:b/>
                <w:sz w:val="22"/>
                <w:szCs w:val="22"/>
              </w:rPr>
              <w:t>1</w:t>
            </w:r>
          </w:p>
        </w:tc>
        <w:tc>
          <w:tcPr>
            <w:tcW w:w="1134" w:type="dxa"/>
          </w:tcPr>
          <w:p w14:paraId="431DB88E" w14:textId="4D14DFCA" w:rsidR="00A06425" w:rsidRPr="00A06425" w:rsidRDefault="00737CBD" w:rsidP="004D086F">
            <w:pPr>
              <w:spacing w:before="60" w:after="60"/>
              <w:jc w:val="center"/>
              <w:rPr>
                <w:rFonts w:asciiTheme="minorHAnsi" w:hAnsiTheme="minorHAnsi" w:cstheme="minorHAnsi"/>
                <w:b/>
                <w:sz w:val="22"/>
                <w:szCs w:val="22"/>
              </w:rPr>
            </w:pPr>
            <w:r>
              <w:rPr>
                <w:rFonts w:asciiTheme="minorHAnsi" w:hAnsiTheme="minorHAnsi" w:cstheme="minorHAnsi"/>
                <w:b/>
                <w:sz w:val="22"/>
                <w:szCs w:val="22"/>
              </w:rPr>
              <w:t>Ministerstwo Cyfryzacji</w:t>
            </w:r>
            <w:r w:rsidR="009478DB">
              <w:rPr>
                <w:rFonts w:asciiTheme="minorHAnsi" w:hAnsiTheme="minorHAnsi" w:cstheme="minorHAnsi"/>
                <w:b/>
                <w:sz w:val="22"/>
                <w:szCs w:val="22"/>
              </w:rPr>
              <w:t xml:space="preserve"> (DIE)</w:t>
            </w:r>
          </w:p>
        </w:tc>
        <w:tc>
          <w:tcPr>
            <w:tcW w:w="1843" w:type="dxa"/>
          </w:tcPr>
          <w:p w14:paraId="663DFE25" w14:textId="77777777" w:rsidR="00A06425" w:rsidRPr="00A06425" w:rsidRDefault="00A06425" w:rsidP="004D086F">
            <w:pPr>
              <w:jc w:val="center"/>
              <w:rPr>
                <w:rFonts w:asciiTheme="minorHAnsi" w:hAnsiTheme="minorHAnsi" w:cstheme="minorHAnsi"/>
                <w:sz w:val="22"/>
                <w:szCs w:val="22"/>
              </w:rPr>
            </w:pPr>
          </w:p>
        </w:tc>
        <w:tc>
          <w:tcPr>
            <w:tcW w:w="3544" w:type="dxa"/>
          </w:tcPr>
          <w:p w14:paraId="734BB41F" w14:textId="56B4D571" w:rsidR="00A06425" w:rsidRPr="00A06425" w:rsidRDefault="00737CBD" w:rsidP="00820412">
            <w:pPr>
              <w:rPr>
                <w:rFonts w:asciiTheme="minorHAnsi" w:hAnsiTheme="minorHAnsi" w:cstheme="minorHAnsi"/>
                <w:sz w:val="22"/>
                <w:szCs w:val="22"/>
              </w:rPr>
            </w:pPr>
            <w:r w:rsidRPr="00737CBD">
              <w:rPr>
                <w:rFonts w:asciiTheme="minorHAnsi" w:hAnsiTheme="minorHAnsi" w:cstheme="minorHAnsi"/>
                <w:sz w:val="22"/>
                <w:szCs w:val="22"/>
              </w:rPr>
              <w:t>Prosimy o przekazanie informacji:</w:t>
            </w:r>
            <w:r w:rsidRPr="00737CBD">
              <w:rPr>
                <w:rFonts w:asciiTheme="minorHAnsi" w:hAnsiTheme="minorHAnsi" w:cstheme="minorHAnsi"/>
                <w:sz w:val="22"/>
                <w:szCs w:val="22"/>
              </w:rPr>
              <w:br/>
              <w:t xml:space="preserve">1. Uwaga ogólna - Jakiej skali ruchu (żądania / </w:t>
            </w:r>
            <w:proofErr w:type="spellStart"/>
            <w:r w:rsidRPr="00737CBD">
              <w:rPr>
                <w:rFonts w:asciiTheme="minorHAnsi" w:hAnsiTheme="minorHAnsi" w:cstheme="minorHAnsi"/>
                <w:sz w:val="22"/>
                <w:szCs w:val="22"/>
              </w:rPr>
              <w:t>sek</w:t>
            </w:r>
            <w:proofErr w:type="spellEnd"/>
            <w:r w:rsidRPr="00737CBD">
              <w:rPr>
                <w:rFonts w:asciiTheme="minorHAnsi" w:hAnsiTheme="minorHAnsi" w:cstheme="minorHAnsi"/>
                <w:sz w:val="22"/>
                <w:szCs w:val="22"/>
              </w:rPr>
              <w:t>) do systemu Węzeł Krajowy należy spodziewać się w wyniku realizacji projektu?</w:t>
            </w:r>
            <w:r w:rsidRPr="00737CBD">
              <w:rPr>
                <w:rFonts w:asciiTheme="minorHAnsi" w:hAnsiTheme="minorHAnsi" w:cstheme="minorHAnsi"/>
                <w:sz w:val="22"/>
                <w:szCs w:val="22"/>
              </w:rPr>
              <w:br/>
              <w:t>2. Uwaga ogólna - Proszę o określenie spodziewanych pik-ów ruchu do systemu Węzeł Krajowy, w związku z realizacją projektu?</w:t>
            </w:r>
            <w:r w:rsidRPr="00737CBD">
              <w:rPr>
                <w:rFonts w:asciiTheme="minorHAnsi" w:hAnsiTheme="minorHAnsi" w:cstheme="minorHAnsi"/>
                <w:sz w:val="22"/>
                <w:szCs w:val="22"/>
              </w:rPr>
              <w:br/>
              <w:t>3. Uwaga ogólna - Proszę o wskazanie kalendarza zdarzeń, które, w wyniku realizacji projektu, będą generować zwiększony ruch do systemu Węzeł Krajowy.</w:t>
            </w:r>
          </w:p>
        </w:tc>
        <w:tc>
          <w:tcPr>
            <w:tcW w:w="1559" w:type="dxa"/>
          </w:tcPr>
          <w:p w14:paraId="3A49EB91" w14:textId="760C2217" w:rsidR="000976CE" w:rsidRPr="00A06425" w:rsidRDefault="000976CE" w:rsidP="004679DC">
            <w:pPr>
              <w:rPr>
                <w:rFonts w:asciiTheme="minorHAnsi" w:hAnsiTheme="minorHAnsi" w:cstheme="minorHAnsi"/>
                <w:sz w:val="22"/>
                <w:szCs w:val="22"/>
              </w:rPr>
            </w:pPr>
          </w:p>
        </w:tc>
        <w:tc>
          <w:tcPr>
            <w:tcW w:w="6746" w:type="dxa"/>
          </w:tcPr>
          <w:p w14:paraId="0229A944" w14:textId="77777777" w:rsidR="004679DC" w:rsidRDefault="004679DC" w:rsidP="004679DC">
            <w:pPr>
              <w:rPr>
                <w:rFonts w:asciiTheme="minorHAnsi" w:hAnsiTheme="minorHAnsi" w:cstheme="minorHAnsi"/>
                <w:sz w:val="22"/>
                <w:szCs w:val="22"/>
              </w:rPr>
            </w:pPr>
            <w:r>
              <w:rPr>
                <w:rFonts w:asciiTheme="minorHAnsi" w:hAnsiTheme="minorHAnsi" w:cstheme="minorHAnsi"/>
                <w:sz w:val="22"/>
                <w:szCs w:val="22"/>
              </w:rPr>
              <w:t xml:space="preserve">Ad. 1 Logowanie do platformy jest opcjonalne, zasoby platformy będą możliwe do przeglądania bez logowania się. Dodatkowo Węzeł Krajowy będzie jedną z możliwości logowania się. Wnioskodawca spodziewa się niskiego ruchu do Węzła Krajowego. Szacuje się, że </w:t>
            </w:r>
            <w:r w:rsidRPr="000976CE">
              <w:rPr>
                <w:rFonts w:asciiTheme="minorHAnsi" w:hAnsiTheme="minorHAnsi" w:cstheme="minorHAnsi"/>
                <w:sz w:val="22"/>
                <w:szCs w:val="22"/>
              </w:rPr>
              <w:t xml:space="preserve">typowy ruch będzie </w:t>
            </w:r>
            <w:r>
              <w:rPr>
                <w:rFonts w:asciiTheme="minorHAnsi" w:hAnsiTheme="minorHAnsi" w:cstheme="minorHAnsi"/>
                <w:sz w:val="22"/>
                <w:szCs w:val="22"/>
              </w:rPr>
              <w:t>osiągał</w:t>
            </w:r>
            <w:r w:rsidRPr="000976CE">
              <w:rPr>
                <w:rFonts w:asciiTheme="minorHAnsi" w:hAnsiTheme="minorHAnsi" w:cstheme="minorHAnsi"/>
                <w:sz w:val="22"/>
                <w:szCs w:val="22"/>
              </w:rPr>
              <w:t xml:space="preserve"> pojedyncze logowania dziennie, a maksymalnie kilkadziesiąt prób logowania dziennie. W przeliczeniu na żądania na sekundę będzie to wartość pomijalna z punktu widzenia obciążenia Węzła Krajowego, co do zasady poniżej 0,01 żądania/s w ujęciu średniodobowym.</w:t>
            </w:r>
          </w:p>
          <w:p w14:paraId="134F42E3" w14:textId="77777777" w:rsidR="004679DC" w:rsidRDefault="004679DC" w:rsidP="00820412">
            <w:pPr>
              <w:jc w:val="both"/>
              <w:rPr>
                <w:rFonts w:asciiTheme="minorHAnsi" w:hAnsiTheme="minorHAnsi" w:cstheme="minorHAnsi"/>
                <w:sz w:val="22"/>
                <w:szCs w:val="22"/>
              </w:rPr>
            </w:pPr>
          </w:p>
          <w:p w14:paraId="62C5C63F" w14:textId="77777777" w:rsidR="004679DC" w:rsidRPr="000976CE" w:rsidRDefault="004679DC" w:rsidP="004679DC">
            <w:pPr>
              <w:rPr>
                <w:rFonts w:asciiTheme="minorHAnsi" w:hAnsiTheme="minorHAnsi" w:cstheme="minorHAnsi"/>
                <w:sz w:val="22"/>
                <w:szCs w:val="22"/>
              </w:rPr>
            </w:pPr>
            <w:r>
              <w:rPr>
                <w:rFonts w:asciiTheme="minorHAnsi" w:hAnsiTheme="minorHAnsi" w:cstheme="minorHAnsi"/>
                <w:sz w:val="22"/>
                <w:szCs w:val="22"/>
              </w:rPr>
              <w:t xml:space="preserve">Ad. 2. </w:t>
            </w:r>
            <w:r w:rsidRPr="000976CE">
              <w:rPr>
                <w:rFonts w:asciiTheme="minorHAnsi" w:hAnsiTheme="minorHAnsi" w:cstheme="minorHAnsi"/>
                <w:sz w:val="22"/>
                <w:szCs w:val="22"/>
              </w:rPr>
              <w:t>Nie przewiduje się istotnych pików ruchu do Węzła Krajowego. Ewentualne zwiększone użycie może wystąpić incydentalnie, np. po uruchomieniu nowej wersji platformy, po szkoleniu użytkowników albo po działaniach informacyjnych skierowanych do partnerów naukowych i instytucjonalnych.</w:t>
            </w:r>
            <w:r>
              <w:rPr>
                <w:rFonts w:asciiTheme="minorHAnsi" w:hAnsiTheme="minorHAnsi" w:cstheme="minorHAnsi"/>
                <w:sz w:val="22"/>
                <w:szCs w:val="22"/>
              </w:rPr>
              <w:t xml:space="preserve"> </w:t>
            </w:r>
            <w:r w:rsidRPr="000976CE">
              <w:rPr>
                <w:rFonts w:asciiTheme="minorHAnsi" w:hAnsiTheme="minorHAnsi" w:cstheme="minorHAnsi"/>
                <w:sz w:val="22"/>
                <w:szCs w:val="22"/>
              </w:rPr>
              <w:t>Zakłada się, że nawet w takich przypadkach liczba prób logowania przez Węzeł Krajowy nie przekroczy kilkudziesięciu dziennie, a chwilowe natężenie ruchu będzie miało charakter jednostkowy. Szacowany pik nie powinien przekraczać kilku prób logowania w ciągu kilku minut, co odpowiada wartości znacząco niższej niż 1 żądanie/s.</w:t>
            </w:r>
          </w:p>
          <w:p w14:paraId="5853502D" w14:textId="77777777" w:rsidR="004679DC" w:rsidRDefault="004679DC" w:rsidP="004679DC">
            <w:pPr>
              <w:jc w:val="center"/>
              <w:rPr>
                <w:rFonts w:asciiTheme="minorHAnsi" w:hAnsiTheme="minorHAnsi" w:cstheme="minorHAnsi"/>
                <w:sz w:val="22"/>
                <w:szCs w:val="22"/>
              </w:rPr>
            </w:pPr>
          </w:p>
          <w:p w14:paraId="0F37C0C4" w14:textId="77777777" w:rsidR="004679DC" w:rsidRPr="004679DC" w:rsidRDefault="004679DC" w:rsidP="004679DC">
            <w:pPr>
              <w:rPr>
                <w:rFonts w:asciiTheme="minorHAnsi" w:hAnsiTheme="minorHAnsi" w:cstheme="minorHAnsi"/>
                <w:sz w:val="22"/>
                <w:szCs w:val="22"/>
              </w:rPr>
            </w:pPr>
            <w:r>
              <w:rPr>
                <w:rFonts w:asciiTheme="minorHAnsi" w:hAnsiTheme="minorHAnsi" w:cstheme="minorHAnsi"/>
                <w:sz w:val="22"/>
                <w:szCs w:val="22"/>
              </w:rPr>
              <w:t xml:space="preserve">Ad. 3. </w:t>
            </w:r>
            <w:r w:rsidRPr="004679DC">
              <w:rPr>
                <w:rFonts w:asciiTheme="minorHAnsi" w:hAnsiTheme="minorHAnsi" w:cstheme="minorHAnsi"/>
                <w:sz w:val="22"/>
                <w:szCs w:val="22"/>
              </w:rPr>
              <w:t>Nie planuje się cyklicznych ani masowych zdarzeń generujących zwiększony ruch do Węzła Krajowego. Projekt nie zakłada kampanii masowego logowania użytkowników, naborów, zapisów ani czynności administracyjnych wymagających uwierzytelnienia dużej liczby osób w krótkim czasie.</w:t>
            </w:r>
          </w:p>
          <w:p w14:paraId="68EAE0B0" w14:textId="77777777" w:rsidR="004679DC" w:rsidRPr="004679DC" w:rsidRDefault="004679DC" w:rsidP="004679DC">
            <w:pPr>
              <w:rPr>
                <w:rFonts w:asciiTheme="minorHAnsi" w:hAnsiTheme="minorHAnsi" w:cstheme="minorHAnsi"/>
                <w:sz w:val="22"/>
                <w:szCs w:val="22"/>
              </w:rPr>
            </w:pPr>
            <w:r w:rsidRPr="004679DC">
              <w:rPr>
                <w:rFonts w:asciiTheme="minorHAnsi" w:hAnsiTheme="minorHAnsi" w:cstheme="minorHAnsi"/>
                <w:sz w:val="22"/>
                <w:szCs w:val="22"/>
              </w:rPr>
              <w:t>Potencjalne zdarzenia, które mogą spowodować nieznaczne zwiększenie ruchu, to:</w:t>
            </w:r>
            <w:r w:rsidRPr="004679DC">
              <w:rPr>
                <w:rFonts w:asciiTheme="minorHAnsi" w:hAnsiTheme="minorHAnsi" w:cstheme="minorHAnsi"/>
                <w:sz w:val="22"/>
                <w:szCs w:val="22"/>
              </w:rPr>
              <w:br/>
              <w:t>– uruchomienie produkcyjne e-Puszcza 2.0, planowane na III kwartał 2029 r.;</w:t>
            </w:r>
            <w:r w:rsidRPr="004679DC">
              <w:rPr>
                <w:rFonts w:asciiTheme="minorHAnsi" w:hAnsiTheme="minorHAnsi" w:cstheme="minorHAnsi"/>
                <w:sz w:val="22"/>
                <w:szCs w:val="22"/>
              </w:rPr>
              <w:br/>
              <w:t xml:space="preserve">– udostępnienie materiałów szkoleniowych i instrukcji dla </w:t>
            </w:r>
            <w:r w:rsidRPr="004679DC">
              <w:rPr>
                <w:rFonts w:asciiTheme="minorHAnsi" w:hAnsiTheme="minorHAnsi" w:cstheme="minorHAnsi"/>
                <w:sz w:val="22"/>
                <w:szCs w:val="22"/>
              </w:rPr>
              <w:lastRenderedPageBreak/>
              <w:t>użytkowników, planowane na IV kwartał 2029 r.;</w:t>
            </w:r>
            <w:r w:rsidRPr="004679DC">
              <w:rPr>
                <w:rFonts w:asciiTheme="minorHAnsi" w:hAnsiTheme="minorHAnsi" w:cstheme="minorHAnsi"/>
                <w:sz w:val="22"/>
                <w:szCs w:val="22"/>
              </w:rPr>
              <w:br/>
              <w:t>– szkolenia lub prezentacje dla opiekunów danych i użytkowników instytucjonalnych, planowane w okresie wdrożenia i odbioru końcowego;</w:t>
            </w:r>
            <w:r w:rsidRPr="004679DC">
              <w:rPr>
                <w:rFonts w:asciiTheme="minorHAnsi" w:hAnsiTheme="minorHAnsi" w:cstheme="minorHAnsi"/>
                <w:sz w:val="22"/>
                <w:szCs w:val="22"/>
              </w:rPr>
              <w:br/>
              <w:t>– działania informacyjno-promocyjne po zakończeniu realizacji projektu.</w:t>
            </w:r>
          </w:p>
          <w:p w14:paraId="40DEFF81" w14:textId="15BAB6B4" w:rsidR="00A06425" w:rsidRPr="00A06425" w:rsidRDefault="004679DC" w:rsidP="004679DC">
            <w:pPr>
              <w:jc w:val="center"/>
              <w:rPr>
                <w:rFonts w:asciiTheme="minorHAnsi" w:hAnsiTheme="minorHAnsi" w:cstheme="minorHAnsi"/>
                <w:sz w:val="22"/>
                <w:szCs w:val="22"/>
              </w:rPr>
            </w:pPr>
            <w:r w:rsidRPr="004679DC">
              <w:rPr>
                <w:rFonts w:asciiTheme="minorHAnsi" w:hAnsiTheme="minorHAnsi" w:cstheme="minorHAnsi"/>
                <w:sz w:val="22"/>
                <w:szCs w:val="22"/>
              </w:rPr>
              <w:t>W każdym z powyższych przypadków przewidywany ruch do Węzła Krajowego pozostanie bardzo niski i będzie obejmował maksymalnie kilkadziesiąt prób logowania dziennie. Publiczne przeglądanie, wyszukiwanie, pobieranie danych, korzystanie z map, API i metadanych nie będzie wymagało logowania przez Węzeł Krajowy.</w:t>
            </w:r>
          </w:p>
        </w:tc>
      </w:tr>
    </w:tbl>
    <w:p w14:paraId="61A7F42A" w14:textId="77777777" w:rsidR="00C64B1B" w:rsidRDefault="00C64B1B" w:rsidP="00C64B1B">
      <w:pPr>
        <w:jc w:val="center"/>
      </w:pPr>
    </w:p>
    <w:sectPr w:rsidR="00C64B1B" w:rsidSect="00A06425">
      <w:pgSz w:w="16838" w:h="11906" w:orient="landscape"/>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B1B"/>
    <w:rsid w:val="00033A9F"/>
    <w:rsid w:val="00034258"/>
    <w:rsid w:val="000976CE"/>
    <w:rsid w:val="00140BE8"/>
    <w:rsid w:val="0019648E"/>
    <w:rsid w:val="002715B2"/>
    <w:rsid w:val="003124D1"/>
    <w:rsid w:val="003B4105"/>
    <w:rsid w:val="004679DC"/>
    <w:rsid w:val="004D086F"/>
    <w:rsid w:val="005F6527"/>
    <w:rsid w:val="006705EC"/>
    <w:rsid w:val="006E16E9"/>
    <w:rsid w:val="00723628"/>
    <w:rsid w:val="00737CBD"/>
    <w:rsid w:val="00807385"/>
    <w:rsid w:val="00820412"/>
    <w:rsid w:val="00872279"/>
    <w:rsid w:val="00944932"/>
    <w:rsid w:val="009478DB"/>
    <w:rsid w:val="009E5FDB"/>
    <w:rsid w:val="00A06425"/>
    <w:rsid w:val="00AC7796"/>
    <w:rsid w:val="00B871B6"/>
    <w:rsid w:val="00C64B1B"/>
    <w:rsid w:val="00CD5EB0"/>
    <w:rsid w:val="00DE2A71"/>
    <w:rsid w:val="00E14C33"/>
    <w:rsid w:val="00E55839"/>
    <w:rsid w:val="00FD71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410010"/>
  <w15:chartTrackingRefBased/>
  <w15:docId w15:val="{2379E184-FF6E-46FA-BB13-F6EF6AC0F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C6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A06425"/>
    <w:rPr>
      <w:rFonts w:ascii="Segoe UI" w:hAnsi="Segoe UI" w:cs="Segoe UI"/>
      <w:sz w:val="18"/>
      <w:szCs w:val="18"/>
    </w:rPr>
  </w:style>
  <w:style w:type="character" w:customStyle="1" w:styleId="TekstdymkaZnak">
    <w:name w:val="Tekst dymka Znak"/>
    <w:basedOn w:val="Domylnaczcionkaakapitu"/>
    <w:link w:val="Tekstdymka"/>
    <w:rsid w:val="00A064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374903">
      <w:bodyDiv w:val="1"/>
      <w:marLeft w:val="0"/>
      <w:marRight w:val="0"/>
      <w:marTop w:val="0"/>
      <w:marBottom w:val="0"/>
      <w:divBdr>
        <w:top w:val="none" w:sz="0" w:space="0" w:color="auto"/>
        <w:left w:val="none" w:sz="0" w:space="0" w:color="auto"/>
        <w:bottom w:val="none" w:sz="0" w:space="0" w:color="auto"/>
        <w:right w:val="none" w:sz="0" w:space="0" w:color="auto"/>
      </w:divBdr>
    </w:div>
    <w:div w:id="1608733998">
      <w:bodyDiv w:val="1"/>
      <w:marLeft w:val="0"/>
      <w:marRight w:val="0"/>
      <w:marTop w:val="0"/>
      <w:marBottom w:val="0"/>
      <w:divBdr>
        <w:top w:val="none" w:sz="0" w:space="0" w:color="auto"/>
        <w:left w:val="none" w:sz="0" w:space="0" w:color="auto"/>
        <w:bottom w:val="none" w:sz="0" w:space="0" w:color="auto"/>
        <w:right w:val="none" w:sz="0" w:space="0" w:color="auto"/>
      </w:divBdr>
    </w:div>
    <w:div w:id="1786843927">
      <w:bodyDiv w:val="1"/>
      <w:marLeft w:val="0"/>
      <w:marRight w:val="0"/>
      <w:marTop w:val="0"/>
      <w:marBottom w:val="0"/>
      <w:divBdr>
        <w:top w:val="none" w:sz="0" w:space="0" w:color="auto"/>
        <w:left w:val="none" w:sz="0" w:space="0" w:color="auto"/>
        <w:bottom w:val="none" w:sz="0" w:space="0" w:color="auto"/>
        <w:right w:val="none" w:sz="0" w:space="0" w:color="auto"/>
      </w:divBdr>
    </w:div>
    <w:div w:id="207554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0d1594e-cc58-4d74-a846-785a47fd8683}" enabled="1" method="Privileged" siteId="{6b5e84bc-ccb4-4457-85a0-05c2a812f6c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405</Words>
  <Characters>2432</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
    </vt:vector>
  </TitlesOfParts>
  <Company>MSWIA</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BAF</dc:creator>
  <cp:keywords/>
  <cp:lastModifiedBy>Łapińska Joanna (PK)</cp:lastModifiedBy>
  <cp:revision>2</cp:revision>
  <dcterms:created xsi:type="dcterms:W3CDTF">2026-06-23T20:49:00Z</dcterms:created>
  <dcterms:modified xsi:type="dcterms:W3CDTF">2026-06-23T20:49:00Z</dcterms:modified>
</cp:coreProperties>
</file>